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right="-182.5984251968498"/>
        <w:jc w:val="center"/>
        <w:rPr>
          <w:rFonts w:ascii="Century Gothic" w:cs="Century Gothic" w:eastAsia="Century Gothic" w:hAnsi="Century Gothic"/>
          <w:b w:val="1"/>
          <w:color w:val="222222"/>
          <w:sz w:val="28"/>
          <w:szCs w:val="28"/>
        </w:rPr>
      </w:pPr>
      <w:r w:rsidDel="00000000" w:rsidR="00000000" w:rsidRPr="00000000">
        <w:rPr>
          <w:rtl w:val="0"/>
        </w:rPr>
      </w:r>
    </w:p>
    <w:p w:rsidR="00000000" w:rsidDel="00000000" w:rsidP="00000000" w:rsidRDefault="00000000" w:rsidRPr="00000000" w14:paraId="00000002">
      <w:pPr>
        <w:spacing w:after="200" w:line="240" w:lineRule="auto"/>
        <w:ind w:left="-283.46456692913375" w:right="-182.5984251968498" w:firstLine="0"/>
        <w:jc w:val="center"/>
        <w:rPr>
          <w:rFonts w:ascii="Century Gothic" w:cs="Century Gothic" w:eastAsia="Century Gothic" w:hAnsi="Century Gothic"/>
          <w:b w:val="1"/>
          <w:color w:val="222222"/>
          <w:sz w:val="28"/>
          <w:szCs w:val="28"/>
        </w:rPr>
      </w:pPr>
      <w:r w:rsidDel="00000000" w:rsidR="00000000" w:rsidRPr="00000000">
        <w:rPr>
          <w:rFonts w:ascii="Century Gothic" w:cs="Century Gothic" w:eastAsia="Century Gothic" w:hAnsi="Century Gothic"/>
          <w:b w:val="1"/>
          <w:color w:val="222222"/>
          <w:sz w:val="28"/>
          <w:szCs w:val="28"/>
          <w:rtl w:val="0"/>
        </w:rPr>
        <w:t xml:space="preserve">FUJIFILM announces the new Fujifilm X-T30 II</w:t>
      </w:r>
    </w:p>
    <w:p w:rsidR="00000000" w:rsidDel="00000000" w:rsidP="00000000" w:rsidRDefault="00000000" w:rsidRPr="00000000" w14:paraId="00000003">
      <w:pPr>
        <w:spacing w:after="200" w:line="240" w:lineRule="auto"/>
        <w:ind w:left="-283.46456692913375" w:right="-182.5984251968498" w:firstLine="0"/>
        <w:jc w:val="center"/>
        <w:rPr>
          <w:rFonts w:ascii="Century Gothic" w:cs="Century Gothic" w:eastAsia="Century Gothic" w:hAnsi="Century Gothic"/>
          <w:i w:val="1"/>
          <w:color w:val="222222"/>
          <w:sz w:val="18"/>
          <w:szCs w:val="18"/>
        </w:rPr>
      </w:pPr>
      <w:r w:rsidDel="00000000" w:rsidR="00000000" w:rsidRPr="00000000">
        <w:rPr>
          <w:rFonts w:ascii="Century Gothic" w:cs="Century Gothic" w:eastAsia="Century Gothic" w:hAnsi="Century Gothic"/>
          <w:i w:val="1"/>
          <w:color w:val="222222"/>
          <w:sz w:val="18"/>
          <w:szCs w:val="18"/>
          <w:rtl w:val="0"/>
        </w:rPr>
        <w:t xml:space="preserve">Evolved rear LCD panel, fast and accurate AF system and 4K/30P high-quality video recording capability packed into a compact and lightweight body</w:t>
      </w:r>
    </w:p>
    <w:p w:rsidR="00000000" w:rsidDel="00000000" w:rsidP="00000000" w:rsidRDefault="00000000" w:rsidRPr="00000000" w14:paraId="00000004">
      <w:pPr>
        <w:spacing w:after="200" w:line="240" w:lineRule="auto"/>
        <w:ind w:left="-283.46456692913375" w:right="-182.5984251968498" w:firstLine="0"/>
        <w:jc w:val="right"/>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September 3, 2021</w:t>
      </w:r>
    </w:p>
    <w:p w:rsidR="00000000" w:rsidDel="00000000" w:rsidP="00000000" w:rsidRDefault="00000000" w:rsidRPr="00000000" w14:paraId="00000005">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FUJIFILM Australia is pleased to announce the release of the new “Fujifilm X-T30 II” (hereinafter X-T30 II), a new addition to the X Series of mirrorless digital cameras, known for their compact and lightweight body and superior image quality based on FUJIFILM’s proprietary colour reproduction technology. The X-T30 II will go on sale in early October 2021.</w:t>
      </w:r>
    </w:p>
    <w:p w:rsidR="00000000" w:rsidDel="00000000" w:rsidP="00000000" w:rsidRDefault="00000000" w:rsidRPr="00000000" w14:paraId="00000006">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X-T30 II inherits the compact and lightweight camera body of the Fujifilm X-T30 model, and delivers high-speed AF performance and image quality equivalent to the flagship model, the Fujifilm X-T4 (hereinafter X-T4). It features a 26.1MP X-Trans CMOS 4 sensor, high-speed X-Processor 4 image processing engine, robust and accurate AF systems and 18 Film Simulation modes - all in a body that weighs just 378g.</w:t>
      </w:r>
    </w:p>
    <w:p w:rsidR="00000000" w:rsidDel="00000000" w:rsidP="00000000" w:rsidRDefault="00000000" w:rsidRPr="00000000" w14:paraId="00000007">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Key product features include:</w:t>
      </w:r>
    </w:p>
    <w:p w:rsidR="00000000" w:rsidDel="00000000" w:rsidP="00000000" w:rsidRDefault="00000000" w:rsidRPr="00000000" w14:paraId="00000008">
      <w:pPr>
        <w:numPr>
          <w:ilvl w:val="0"/>
          <w:numId w:val="1"/>
        </w:numPr>
        <w:spacing w:after="200" w:line="240" w:lineRule="auto"/>
        <w:ind w:left="720" w:right="-182.5984251968498" w:hanging="36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Fast and highly accurate AF performance and advanced burst shooting capability to capture decisive moments in a variety of situations</w:t>
      </w:r>
    </w:p>
    <w:p w:rsidR="00000000" w:rsidDel="00000000" w:rsidP="00000000" w:rsidRDefault="00000000" w:rsidRPr="00000000" w14:paraId="00000009">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X-T30 II features the 26.1MP “X-Trans™ CMOS 4” sensor and the high-speed image processing engine “X-Processor 4” to enable advanced phase-detection AF across the frame (approximately 100%). The AF speed of 0.02 seconds and AF tracking enable users to capture any moment and never miss a shot.</w:t>
      </w:r>
    </w:p>
    <w:p w:rsidR="00000000" w:rsidDel="00000000" w:rsidP="00000000" w:rsidRDefault="00000000" w:rsidRPr="00000000" w14:paraId="0000000A">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X-T30 II delivers burst shooting at up to 8fps in the mechanical shutter mode and blackout-free burst shooting</w:t>
      </w:r>
      <w:r w:rsidDel="00000000" w:rsidR="00000000" w:rsidRPr="00000000">
        <w:rPr>
          <w:rFonts w:ascii="Century Gothic" w:cs="Century Gothic" w:eastAsia="Century Gothic" w:hAnsi="Century Gothic"/>
          <w:color w:val="222222"/>
          <w:sz w:val="20"/>
          <w:szCs w:val="20"/>
          <w:vertAlign w:val="superscript"/>
        </w:rPr>
        <w:footnoteReference w:customMarkFollows="0" w:id="0"/>
      </w:r>
      <w:r w:rsidDel="00000000" w:rsidR="00000000" w:rsidRPr="00000000">
        <w:rPr>
          <w:rFonts w:ascii="Century Gothic" w:cs="Century Gothic" w:eastAsia="Century Gothic" w:hAnsi="Century Gothic"/>
          <w:color w:val="222222"/>
          <w:sz w:val="20"/>
          <w:szCs w:val="20"/>
          <w:rtl w:val="0"/>
        </w:rPr>
        <w:t xml:space="preserve"> up to 20fps in the electronic shutter mode, or 30fps in the cropped mode.</w:t>
      </w:r>
    </w:p>
    <w:p w:rsidR="00000000" w:rsidDel="00000000" w:rsidP="00000000" w:rsidRDefault="00000000" w:rsidRPr="00000000" w14:paraId="0000000B">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X-T30 II can also use phase-detection AF in near darkness conditions at -7.0EV</w:t>
      </w:r>
      <w:r w:rsidDel="00000000" w:rsidR="00000000" w:rsidRPr="00000000">
        <w:rPr>
          <w:rFonts w:ascii="Century Gothic" w:cs="Century Gothic" w:eastAsia="Century Gothic" w:hAnsi="Century Gothic"/>
          <w:color w:val="222222"/>
          <w:sz w:val="20"/>
          <w:szCs w:val="20"/>
          <w:vertAlign w:val="superscript"/>
        </w:rPr>
        <w:footnoteReference w:customMarkFollows="0" w:id="1"/>
      </w:r>
      <w:r w:rsidDel="00000000" w:rsidR="00000000" w:rsidRPr="00000000">
        <w:rPr>
          <w:rFonts w:ascii="Century Gothic" w:cs="Century Gothic" w:eastAsia="Century Gothic" w:hAnsi="Century Gothic"/>
          <w:color w:val="222222"/>
          <w:sz w:val="20"/>
          <w:szCs w:val="20"/>
          <w:rtl w:val="0"/>
        </w:rPr>
        <w:t xml:space="preserve"> to accurately capture a subject in low light and dark rooms.</w:t>
      </w:r>
    </w:p>
    <w:p w:rsidR="00000000" w:rsidDel="00000000" w:rsidP="00000000" w:rsidRDefault="00000000" w:rsidRPr="00000000" w14:paraId="0000000C">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X-T30 II uses the latest algorithm to achieve improved AF tracking. It can reliably track a subject that is moving towards or away from the camera. Its Face/Eye AF function keeps a subject’s face and eyes in focus in portrait even when in motion.</w:t>
      </w:r>
    </w:p>
    <w:p w:rsidR="00000000" w:rsidDel="00000000" w:rsidP="00000000" w:rsidRDefault="00000000" w:rsidRPr="00000000" w14:paraId="0000000D">
      <w:pPr>
        <w:numPr>
          <w:ilvl w:val="0"/>
          <w:numId w:val="1"/>
        </w:numPr>
        <w:spacing w:after="200" w:line="240" w:lineRule="auto"/>
        <w:ind w:left="720" w:right="-182.5984251968498" w:hanging="36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Diverse Film Simulations and evolved AUTO function to deliver exceptional image quality</w:t>
      </w:r>
    </w:p>
    <w:p w:rsidR="00000000" w:rsidDel="00000000" w:rsidP="00000000" w:rsidRDefault="00000000" w:rsidRPr="00000000" w14:paraId="0000000E">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X-T30 II comes with 18 Film Simulations that emulate unique sets of colours, tonality and saturation levels, including “Classic Neg.” inspired by colour negative films typically used in snapshots capturing day-to-day scenes. This also includes “ETERNA Bleach Bypass”, which faithfully simulates the film processing technique of the same name. The expanded lineup of Film Simulations allows users to choose  a mode that suits each shooting scenario.</w:t>
      </w:r>
    </w:p>
    <w:p w:rsidR="00000000" w:rsidDel="00000000" w:rsidP="00000000" w:rsidRDefault="00000000" w:rsidRPr="00000000" w14:paraId="0000000F">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algorithm for the popular SR AUTO mode has been improved compared to the X-T30. The AUTO mode automatically applies the Color Chrome Effect (blue), Clarity, D Range Priority and other settings according to prevailing conditions, making landscapes clearer and more vivid, reproducing beautiful skin tones while accentuating blue skies and natural background in portraiture, and controlling highlight and shows in back-lit situations. The camera’s AUTO function makes it easier than ever to obtain beautiful pictures optimised for individual conditions.</w:t>
      </w:r>
    </w:p>
    <w:p w:rsidR="00000000" w:rsidDel="00000000" w:rsidP="00000000" w:rsidRDefault="00000000" w:rsidRPr="00000000" w14:paraId="00000010">
      <w:pPr>
        <w:numPr>
          <w:ilvl w:val="0"/>
          <w:numId w:val="1"/>
        </w:numPr>
        <w:spacing w:after="200" w:line="240" w:lineRule="auto"/>
        <w:ind w:left="720" w:right="-182.5984251968498" w:hanging="36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Extensive video-recording functions</w:t>
      </w:r>
    </w:p>
    <w:p w:rsidR="00000000" w:rsidDel="00000000" w:rsidP="00000000" w:rsidRDefault="00000000" w:rsidRPr="00000000" w14:paraId="00000011">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X-T30 II can output 4K/30P video at 10 bit 4:2:2 to HDMI and 8 bit 4:2:0 onto an SD card. It also supports Full HD/240P high-speed video, capable of replaying a momentary action of a fast-moving subject in up to 10x slow motion.</w:t>
      </w:r>
    </w:p>
    <w:p w:rsidR="00000000" w:rsidDel="00000000" w:rsidP="00000000" w:rsidRDefault="00000000" w:rsidRPr="00000000" w14:paraId="00000012">
      <w:pPr>
        <w:numPr>
          <w:ilvl w:val="0"/>
          <w:numId w:val="1"/>
        </w:numPr>
        <w:spacing w:after="200" w:line="240" w:lineRule="auto"/>
        <w:ind w:left="720" w:right="-182.5984251968498" w:hanging="36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Excellent operability to meet a wide range of needs</w:t>
      </w:r>
    </w:p>
    <w:p w:rsidR="00000000" w:rsidDel="00000000" w:rsidP="00000000" w:rsidRDefault="00000000" w:rsidRPr="00000000" w14:paraId="00000013">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X-T30 II caters to a wide range of shooting styles, including a full-scale manual shooting using the shutter speed dial on the top panel and quick snaps in the AUTO mode. The shutter speed dial allows users to check a current setting, so that they can prepare for the next shot even while the camera is turned off. The AUTO mode can be activated with a single-action operation of the Auto Mode Selector switch on the top panel.</w:t>
      </w:r>
    </w:p>
    <w:p w:rsidR="00000000" w:rsidDel="00000000" w:rsidP="00000000" w:rsidRDefault="00000000" w:rsidRPr="00000000" w14:paraId="00000014">
      <w:pPr>
        <w:spacing w:after="200" w:line="240" w:lineRule="auto"/>
        <w:ind w:left="-283.46456692913375" w:right="-182.5984251968498" w:firstLine="0"/>
        <w:jc w:val="both"/>
        <w:rPr>
          <w:rFonts w:ascii="Century Gothic" w:cs="Century Gothic" w:eastAsia="Century Gothic" w:hAnsi="Century Gothic"/>
          <w:b w:val="1"/>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new high-definition 1.62-million-dot LCD touch screen displays subject matter in amazing clarity whether in shooting or playback modes.</w:t>
      </w:r>
      <w:r w:rsidDel="00000000" w:rsidR="00000000" w:rsidRPr="00000000">
        <w:rPr>
          <w:rtl w:val="0"/>
        </w:rPr>
      </w:r>
    </w:p>
    <w:p w:rsidR="00000000" w:rsidDel="00000000" w:rsidP="00000000" w:rsidRDefault="00000000" w:rsidRPr="00000000" w14:paraId="00000015">
      <w:pPr>
        <w:spacing w:after="200" w:line="240" w:lineRule="auto"/>
        <w:ind w:left="-283.46456692913375" w:right="-182.5984251968498" w:firstLine="0"/>
        <w:jc w:val="both"/>
        <w:rPr>
          <w:rFonts w:ascii="Century Gothic" w:cs="Century Gothic" w:eastAsia="Century Gothic" w:hAnsi="Century Gothic"/>
          <w:b w:val="1"/>
          <w:color w:val="222222"/>
          <w:sz w:val="20"/>
          <w:szCs w:val="20"/>
        </w:rPr>
      </w:pPr>
      <w:r w:rsidDel="00000000" w:rsidR="00000000" w:rsidRPr="00000000">
        <w:rPr>
          <w:rFonts w:ascii="Century Gothic" w:cs="Century Gothic" w:eastAsia="Century Gothic" w:hAnsi="Century Gothic"/>
          <w:b w:val="1"/>
          <w:color w:val="222222"/>
          <w:sz w:val="20"/>
          <w:szCs w:val="20"/>
          <w:rtl w:val="0"/>
        </w:rPr>
        <w:t xml:space="preserve">Product name, colours, release date and price</w:t>
      </w:r>
    </w:p>
    <w:tbl>
      <w:tblPr>
        <w:tblStyle w:val="Table1"/>
        <w:tblW w:w="9600.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1560"/>
        <w:gridCol w:w="2220"/>
        <w:gridCol w:w="2280"/>
        <w:tblGridChange w:id="0">
          <w:tblGrid>
            <w:gridCol w:w="3540"/>
            <w:gridCol w:w="1560"/>
            <w:gridCol w:w="2220"/>
            <w:gridCol w:w="228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283.46456692913375" w:right="-182.5984251968498" w:firstLine="0"/>
              <w:jc w:val="center"/>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Product name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283.46456692913375" w:right="-182.5984251968498" w:firstLine="0"/>
              <w:jc w:val="center"/>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Colours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283.46456692913375" w:right="-182.5984251968498" w:firstLine="0"/>
              <w:jc w:val="center"/>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Release date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283.46456692913375" w:right="-182.5984251968498" w:firstLine="0"/>
              <w:jc w:val="center"/>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RRP (including GST)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283.46456692913375" w:right="-182.5984251968498" w:firstLine="0"/>
              <w:jc w:val="center"/>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Digital camera “Fujifilm X-T30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283.46456692913375" w:right="-182.5984251968498" w:firstLine="0"/>
              <w:jc w:val="center"/>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Black, silver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283.46456692913375" w:right="-182.5984251968498" w:firstLine="0"/>
              <w:jc w:val="center"/>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Early October,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283.46456692913375" w:right="-182.5984251968498" w:firstLine="0"/>
              <w:jc w:val="center"/>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AUD $1,599</w:t>
            </w:r>
          </w:p>
        </w:tc>
      </w:tr>
    </w:tbl>
    <w:p w:rsidR="00000000" w:rsidDel="00000000" w:rsidP="00000000" w:rsidRDefault="00000000" w:rsidRPr="00000000" w14:paraId="0000001E">
      <w:pPr>
        <w:spacing w:after="200" w:line="240" w:lineRule="auto"/>
        <w:ind w:left="-283.46456692913375" w:right="-182.5984251968498" w:firstLine="0"/>
        <w:jc w:val="both"/>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F">
      <w:pPr>
        <w:spacing w:after="200" w:line="240" w:lineRule="auto"/>
        <w:ind w:left="-283.46456692913375" w:right="-182.5984251968498" w:firstLine="0"/>
        <w:jc w:val="center"/>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-ENDS-</w:t>
      </w:r>
    </w:p>
    <w:p w:rsidR="00000000" w:rsidDel="00000000" w:rsidP="00000000" w:rsidRDefault="00000000" w:rsidRPr="00000000" w14:paraId="00000020">
      <w:pPr>
        <w:spacing w:after="200" w:line="240" w:lineRule="auto"/>
        <w:ind w:left="-283.46456692913375" w:right="-182.5984251968498" w:firstLine="0"/>
        <w:jc w:val="both"/>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21">
      <w:pPr>
        <w:ind w:left="-283.46456692913375" w:right="-182.5984251968498" w:firstLine="0"/>
        <w:rPr/>
      </w:pPr>
      <w:r w:rsidDel="00000000" w:rsidR="00000000" w:rsidRPr="00000000">
        <w:rPr>
          <w:rtl w:val="0"/>
        </w:rPr>
      </w:r>
    </w:p>
    <w:sectPr>
      <w:headerReference r:id="rId7" w:type="default"/>
      <w:pgSz w:h="16834" w:w="11909" w:orient="portrait"/>
      <w:pgMar w:bottom="1440" w:top="1440" w:left="1440" w:right="1440" w:header="1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spacing w:line="240" w:lineRule="auto"/>
        <w:rPr>
          <w:rFonts w:ascii="Century Gothic" w:cs="Century Gothic" w:eastAsia="Century Gothic" w:hAnsi="Century Gothic"/>
          <w:sz w:val="16"/>
          <w:szCs w:val="16"/>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sz w:val="16"/>
          <w:szCs w:val="16"/>
          <w:rtl w:val="0"/>
        </w:rPr>
        <w:t xml:space="preserve"> High-speed continuous shooting free from blackout, in which the viewfinder blacks out, causing the photographer to lose sight of a photo subject. This is only available when the camera is in the electronic shutter mode. </w:t>
      </w:r>
    </w:p>
  </w:footnote>
  <w:footnote w:id="1">
    <w:p w:rsidR="00000000" w:rsidDel="00000000" w:rsidP="00000000" w:rsidRDefault="00000000" w:rsidRPr="00000000" w14:paraId="00000024">
      <w:pPr>
        <w:spacing w:line="240" w:lineRule="auto"/>
        <w:rPr>
          <w:rFonts w:ascii="Century Gothic" w:cs="Century Gothic" w:eastAsia="Century Gothic" w:hAnsi="Century Gothic"/>
          <w:sz w:val="16"/>
          <w:szCs w:val="16"/>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sz w:val="16"/>
          <w:szCs w:val="16"/>
          <w:rtl w:val="0"/>
        </w:rPr>
        <w:t xml:space="preserve"> The luminance limit of -7EV is achieved when the camera is mounted with the FUJINON Lens XF50mmF1.0 R WR.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pos="4513"/>
        <w:tab w:val="right" w:pos="9026"/>
      </w:tabs>
      <w:spacing w:line="240" w:lineRule="auto"/>
      <w:ind w:left="-1204.724409448819" w:firstLine="0"/>
      <w:rPr/>
    </w:pPr>
    <w:r w:rsidDel="00000000" w:rsidR="00000000" w:rsidRPr="00000000">
      <w:rPr/>
      <w:drawing>
        <wp:inline distB="0" distT="0" distL="0" distR="0">
          <wp:extent cx="7253288" cy="1139934"/>
          <wp:effectExtent b="0" l="0" r="0" t="0"/>
          <wp:docPr descr="説明: newsrelease_slogan" id="1" name="image1.png"/>
          <a:graphic>
            <a:graphicData uri="http://schemas.openxmlformats.org/drawingml/2006/picture">
              <pic:pic>
                <pic:nvPicPr>
                  <pic:cNvPr descr="説明: newsrelease_slogan" id="0" name="image1.png"/>
                  <pic:cNvPicPr preferRelativeResize="0"/>
                </pic:nvPicPr>
                <pic:blipFill>
                  <a:blip r:embed="rId1"/>
                  <a:srcRect b="0" l="0" r="0" t="0"/>
                  <a:stretch>
                    <a:fillRect/>
                  </a:stretch>
                </pic:blipFill>
                <pic:spPr>
                  <a:xfrm>
                    <a:off x="0" y="0"/>
                    <a:ext cx="7253288" cy="11399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